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1" w:rsidRPr="000E0341" w:rsidRDefault="000E0341" w:rsidP="000E03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</w:pPr>
      <w:r w:rsidRPr="000E0341">
        <w:rPr>
          <w:rFonts w:ascii="Arial" w:eastAsia="Times New Roman" w:hAnsi="Arial" w:cs="Arial"/>
          <w:color w:val="104F66"/>
          <w:kern w:val="36"/>
          <w:sz w:val="37"/>
          <w:szCs w:val="37"/>
          <w:lang w:eastAsia="ru-RU"/>
        </w:rPr>
        <w:t>Перевозка пассажиров в городском и междугородном сообщении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Законодательство Российской Федерации защищает права потребителей услуг по перевозке пассажиров в городском и междугородном сообщении и определяет механизмы реализации этой защиты. Знание прав потребителя поможет потребителю правильно вести себя в ситуациях, когда эти права нарушаются.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Понятие "транспортные услуги" собирательное и включает деятельность по перевозке грузов, пассажиров и багажа, а также связанные с перевозочным процессом услуги, в том числе экспедиционные услуги, услуги по погрузке и выгрузке грузов, буксировку и т.д. Основным видом транспортных услуг является перевозка, т.е. пространственное перемещение грузов, пассажиров, багажа и грузобагажа.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Основными нормативно-правовыми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документами, регулирующими соблюдение продавцами требований законодательства по перевозке пассажиров в городском и междугороднем сообщении являются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Гражданский Кодекс РФ;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Закон РФ «О защите прав потребителей» от 07.02.1992 № 2300-1;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Кодекс внутреннего водного транспорта РФ от 07.02.2001 (КВВТ);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Устав железнодорожного транспорта РФ от 24.12.2002 (УЖТ);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Кодекс торгового мореплавания РФ от 31.03.1999 (КТМ);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Воздушный кодекс РФ от 19.02.1997 (ВК);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 Закон РФ «О железнодорожном транспорте в Российской Федерации» от 10.01.2003;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Вышеуказанные нормативно-правовые акты определяют общие условия перевозок пассажиров и багажа,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грузов соответственно автобусами, трамваями, троллейбусами, легковыми автомобилями, грузовыми автомобилями, в том числе с использованием автомобильных прицепов, автомобильных полуприцепов (далее также - транспортные средства),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</w:r>
      <w:proofErr w:type="gramEnd"/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Термины и понятия, необходимые знать потребителю: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Багаж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вещи пассажира, принятые для перевозки в установленном порядке;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Билет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перевозочный документ, удостоверяющий заключение договора перевозки пассажира;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Маршрут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путь следования транспортного средства между пунктами отправления и назначения;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Маршрут регулярных перевозок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Объекты транспортной инфраструктуры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сооружения, производственно-технологические комплексы, предназначенные для обслуживания пассажиров, фрахтователей, грузоотправителей, грузополучателей, перевозчиков и фрахтовщиков, а также для обеспечения работы транспортных средств;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Остановочный пункт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Пассажир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Перевозчик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юридическое лицо, индивидуальный предприниматель, принявшие на себя по договору перевозки пассажира, договору перевозки груза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управомоченному</w:t>
      </w:r>
      <w:proofErr w:type="spell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их получение лицу;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Путевой лист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документ, служащий для учета и контроля работы транспортного средства, водителя;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Расписание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Ручная кладь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вещи пассажира, которые перевозятся пассажиром с собой в транспортном средстве и сохранность которых при перевозке обеспечивается пассажиром.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 5 Федерального закона от 08.11.2007 № 259-ФЗ «Устав автомобильного транспорта и городского наземного электрического транспорта» (далее – Устав), перевозки пассажиров и багажа подразделяются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регулярные перевозки;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перевозки по заказам;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перевозки легковыми такси.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Регулярные перевозки пассажиров и багажа осуществляются на основании публичного договора перевозки пассажира по маршруту регулярных перевозок. Регулярные перевозки пассажиров и багажа относятся к перевозкам транспортом общего пользования.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Регулярные перевозки пассажиров и багажа подразделяются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перевозки с посадкой и высадкой пассажиров только в установленных остановочных пунктах по маршруту регулярных перевозок;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перевозки с посадкой и высадкой пассажиров в любом не запрещенном правилами дорожного движения месте по маршруту регулярных перевозок.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ст. 20 Устава, заключение договора перевозки пассажира удостоверяется билетом, сдача пассажиром багажа - багажной квитанцией, провоз пассажиром ручной клади за плату - квитанцией на провоз ручной клади. Кассовый чек с указанными на нем реквизитами билета, багажной квитанции, квитанции на провоз ручной клади приравнивается соответственно к билету, багажной квитанции, квитанции на провоз ручной клади. Допускается использование билетов с указанием части или всех реквизитов в электронном виде, если иное не установлено законодательством Российской Федерации.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невозможности осуществить перевозку пассажира и багажа предоставленным транспортным средством в связи с его неисправностью, аварией, другими аналогичными причинами пассажир имеет право воспользоваться выданными билетом, багажной квитанцией, квитанцией на провоз ручной клади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другом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транспортном средстве, предоставление которого обязан обеспечить перевозчик.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Пассажир обязан хранить билет, багажную квитанцию, квитанцию на провоз ручной клади в течение всей поездки и предъявлять их по первому требованию лиц, осуществляющих контроль.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наличием билета, багажной квитанции, квитанции на провоз ручной клади осуществляется в порядке, установленном правилами перевозок пассажиров.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проезде в транспортном средстве, осуществляющем регулярные перевозки пассажиров и багажа, пассажир имеет право: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перевозить за плату в багажном отделении транспортного средства или в отдельном транспортном средстве багаж в количестве не более двух мест, длина, ширина и высота каждого из которых в сумме не превышают сто восемьдесят сантиметров;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провозить с собой бесплатно ручную кладь в количестве не более одного места, длина, ширина и высота которого в сумме не превышают сто двадцать сантиметров, одну пару лыж в чехле, детские санки, детскую коляску.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ст. 24 Устава, пассажиру может быть отказано в продаже билета в случае невозможности предоставления места вследствие превышения вместимости, предусмотренной конструкцией транспортного средства.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Продажа билета без предоставления пассажиру места для сидения допускается в случае, если возможность проезда пассажира без предоставления места для сидения предусмотрена конструкцией транспортного средства.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регулярных перевозок пассажиров и багажа в междугородном сообщении, продажа билетов для проезда пассажиров осуществляется при наличии мест для сидения.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Проводники пассажирских поездов дальнего следования, бортпроводники речного, морского и авиатранспорта обязаны проходить профилактические медицинские осмотры, профессиональную гигиеническую подготовку и иметь личную медицинскую книжку.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Выступая в роли потребителя транспортных услуг, пассажир как субъект договора присоединения остается в определенной зависимости от транспортного предприятия и нуждается в четкой защите своих прав, вытекающих из договора перевозки. В области отношений по договору перевозки пассажира обеспечение </w:t>
      </w: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баланса интересов обеих сторон определяется спецификой публичного договора и договора присоединения. С одной стороны, транспортное предприятие не вправе отказать пассажиру в заключени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договора перевозки, с другой - пассажир вынужден подчиняться условиям, диктуемым перевозчиком. В связи с этим, Гражданский кодекс РФ, Закон РФ «О защите прав потребителей», транспортные уставы, правила и кодексы, защищают интересы и пассажира-потребителя, определяя его основные права и предусматривая ответственность перевозчика в случаях нарушения этих прав.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Особенности защиты прав потребителей при оказании транспортных услуг содержатся в Правилах, утвержденных Постановлением Правительства РФ от 02.03.2005 №111 «Оказания услуг по перевозкам на железнодорожном транспорте пассажиров, а также грузов, багажа и </w:t>
      </w:r>
      <w:proofErr w:type="spell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грузобагажа</w:t>
      </w:r>
      <w:proofErr w:type="spell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личных, семейных, домашних и иных нужд, не связанных с осуществлением предпринимательской деятельности» (далее – Правила оказания услуг). 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проезда в поезде пригородного сообщения пассажир обязан приобрести билет для разовой поездки.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Ответственность исполнителя за нарушение требований по перевозке пассажиров в городском и междугороднем сообщении весьма значительна. В этой сфере российским законодательством </w:t>
      </w: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установлены</w:t>
      </w:r>
      <w:proofErr w:type="gramEnd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гражданско-правовая (возмещение вреда, причиненного соответствующим нарушением), так и административно-правовая ответственность.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Перевозчик несет ответственность за не сохранность багажа после принятия его для перевозки и до выдачи его пассажиру, если не докажет,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 Согласно ст. ст. 796 ГК РФ, 96, 107 УЖТ, ст. 119 КВВТ, п. 7 ст. 34 УАТ, ст. 119 ВК ущерб возмещается перевозчиком в следующем размере: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в случае утраты или недостачи груза, или багажа - в размере стоимости утраченного или недостающего груза, или багажа;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gramStart"/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в случае повреждения (порчи) груза или багажа - в размере суммы, на которую понизилась его стоимость, при невозможности восстановления поврежденного груза или багажа - в размере его стоимости;</w:t>
      </w:r>
      <w:proofErr w:type="gramEnd"/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не сохранность груза, багажа удостоверяются актами, составляемыми совместно с пассажиром (грузоотправителем), один экземпляр которого выдается пассажиру (ст. 160 КВВТ, ст. 38 УАТ, ст. 119 УЖТ, ст. 124 ВК).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спорам, связанным с договорами перевозки груза, до предъявления иска в суд предъявление перевозчику претензии обязательно.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предъявления претензий к перевозчику при внутренних перевозках автомобильным транспортом - 1 год, железнодорожным транспортом - 6 месяцев, в отношении штрафов и пеней - 45 дней (ст. 39 УАТ, ст. 123 УЖТ). При внутренних воздушных перевозках установлен общий срок для предъявления претензий - 6 месяцев (ст. 126 ВК). При внутренних водных перевозках, претензии могут быть предъявлены в течение срока исковой давности, который устанавливается: по требованиям к перевозчику или буксировщику, возникающим в связи с осуществлением перевозок грузов - один год; по требованиям, возникающим в связи с осуществлением перевозок пассажиров и их багажа, - три года (ст. ст. 161, 164 КВВТ).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Исчисление сроков для предъявления претензий производится в соответствии со ст. 126 ВК, ст. 161 КВВТ, ст. 123 УЖТ, ст. 42 УАТ.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Перевозчик вправе принять для рассмотрения претензию по истечении установленных сроков, если признает уважительной причину пропуска срока предъявления претензии.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потребитель по своему выбору вправе обратиться: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       с жалобой в Управление Федеральной службы по надзору в сфере транспорта для проведения контрольно-надзорного мероприятия и привлечения перевозчика к административной ответственности;</w:t>
      </w:r>
    </w:p>
    <w:p w:rsidR="000E0341" w:rsidRPr="000E0341" w:rsidRDefault="000E0341" w:rsidP="000E0341">
      <w:pPr>
        <w:shd w:val="clear" w:color="auto" w:fill="FFFFFF"/>
        <w:spacing w:after="101" w:line="243" w:lineRule="atLeast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0E0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  с исковым заявлением в суд на основании ст. 17 Закона РФ «О защите прав потребителей» с предъявлением дополнительных требований о возмещении ущерба, о компенсации морального вреда, судебных расходов, а также взыскании штрафа за нарушения прав потребителей.</w:t>
      </w:r>
    </w:p>
    <w:p w:rsidR="00735088" w:rsidRDefault="00735088"/>
    <w:sectPr w:rsidR="00735088" w:rsidSect="007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E0341"/>
    <w:rsid w:val="000E0341"/>
    <w:rsid w:val="0073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88"/>
  </w:style>
  <w:style w:type="paragraph" w:styleId="1">
    <w:name w:val="heading 1"/>
    <w:basedOn w:val="a"/>
    <w:link w:val="10"/>
    <w:uiPriority w:val="9"/>
    <w:qFormat/>
    <w:rsid w:val="000E0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976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1736</Words>
  <Characters>9899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2019-09-12T09:27:00Z</dcterms:created>
  <dcterms:modified xsi:type="dcterms:W3CDTF">2019-09-12T09:27:00Z</dcterms:modified>
</cp:coreProperties>
</file>