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361" w:type="dxa"/>
        <w:tblLook w:val="04A0" w:firstRow="1" w:lastRow="0" w:firstColumn="1" w:lastColumn="0" w:noHBand="0" w:noVBand="1"/>
      </w:tblPr>
      <w:tblGrid>
        <w:gridCol w:w="5775"/>
      </w:tblGrid>
      <w:tr w:rsidR="00B41D04" w:rsidTr="00DB501A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B41D04" w:rsidRPr="002E6FE1" w:rsidRDefault="00B41D04" w:rsidP="002E6FE1">
            <w:pPr>
              <w:pStyle w:val="ConsPlusTitle"/>
              <w:jc w:val="right"/>
              <w:rPr>
                <w:b w:val="0"/>
                <w:sz w:val="24"/>
                <w:szCs w:val="24"/>
              </w:rPr>
            </w:pPr>
            <w:r w:rsidRPr="002E6FE1">
              <w:rPr>
                <w:b w:val="0"/>
                <w:sz w:val="24"/>
                <w:szCs w:val="24"/>
              </w:rPr>
              <w:t>Приложение №2</w:t>
            </w:r>
          </w:p>
          <w:p w:rsidR="00B41D04" w:rsidRPr="00B41D04" w:rsidRDefault="00B41D04" w:rsidP="002E6FE1">
            <w:pPr>
              <w:pStyle w:val="ConsPlusNormal"/>
              <w:jc w:val="both"/>
            </w:pPr>
            <w:r w:rsidRPr="002E6FE1">
              <w:rPr>
                <w:sz w:val="24"/>
                <w:szCs w:val="24"/>
              </w:rPr>
              <w:t xml:space="preserve">к Порядку учёта Управлением Федерального казначейства по Новгородской области бюджетных и денежных обязательств получателей средств бюджета </w:t>
            </w:r>
            <w:proofErr w:type="spellStart"/>
            <w:r w:rsidR="00DF4A0D" w:rsidRPr="002E6FE1">
              <w:rPr>
                <w:sz w:val="24"/>
                <w:szCs w:val="24"/>
              </w:rPr>
              <w:t>Шимского</w:t>
            </w:r>
            <w:proofErr w:type="spellEnd"/>
            <w:r w:rsidRPr="002E6FE1">
              <w:rPr>
                <w:sz w:val="24"/>
                <w:szCs w:val="24"/>
              </w:rPr>
              <w:t xml:space="preserve"> муниципального района, утвержденному приказом комитета финансов Администрации </w:t>
            </w:r>
            <w:proofErr w:type="spellStart"/>
            <w:r w:rsidR="00DF4A0D" w:rsidRPr="002E6FE1">
              <w:rPr>
                <w:sz w:val="24"/>
                <w:szCs w:val="24"/>
              </w:rPr>
              <w:t>Шимского</w:t>
            </w:r>
            <w:proofErr w:type="spellEnd"/>
            <w:r w:rsidRPr="002E6FE1">
              <w:rPr>
                <w:sz w:val="24"/>
                <w:szCs w:val="24"/>
              </w:rPr>
              <w:t xml:space="preserve"> муниципального района от 2</w:t>
            </w:r>
            <w:r w:rsidR="002E6FE1" w:rsidRPr="002E6FE1">
              <w:rPr>
                <w:sz w:val="24"/>
                <w:szCs w:val="24"/>
              </w:rPr>
              <w:t>8</w:t>
            </w:r>
            <w:r w:rsidRPr="002E6FE1">
              <w:rPr>
                <w:sz w:val="24"/>
                <w:szCs w:val="24"/>
              </w:rPr>
              <w:t>.1</w:t>
            </w:r>
            <w:r w:rsidR="002E6FE1" w:rsidRPr="002E6FE1">
              <w:rPr>
                <w:sz w:val="24"/>
                <w:szCs w:val="24"/>
              </w:rPr>
              <w:t>2</w:t>
            </w:r>
            <w:r w:rsidRPr="002E6FE1">
              <w:rPr>
                <w:sz w:val="24"/>
                <w:szCs w:val="24"/>
              </w:rPr>
              <w:t>.2018 №</w:t>
            </w:r>
            <w:r w:rsidR="002E6FE1" w:rsidRPr="002E6FE1">
              <w:rPr>
                <w:sz w:val="24"/>
                <w:szCs w:val="24"/>
              </w:rPr>
              <w:t>105</w:t>
            </w:r>
          </w:p>
        </w:tc>
      </w:tr>
    </w:tbl>
    <w:p w:rsidR="005714E7" w:rsidRDefault="005714E7">
      <w:pPr>
        <w:pStyle w:val="ConsPlusNormal"/>
        <w:jc w:val="both"/>
      </w:pPr>
    </w:p>
    <w:p w:rsidR="005714E7" w:rsidRDefault="005714E7">
      <w:pPr>
        <w:pStyle w:val="ConsPlusNormal"/>
        <w:jc w:val="both"/>
      </w:pPr>
    </w:p>
    <w:p w:rsidR="005714E7" w:rsidRDefault="005714E7">
      <w:pPr>
        <w:pStyle w:val="ConsPlusNormal"/>
        <w:jc w:val="both"/>
      </w:pPr>
    </w:p>
    <w:p w:rsidR="005714E7" w:rsidRPr="00435AF8" w:rsidRDefault="005714E7" w:rsidP="00435AF8">
      <w:pPr>
        <w:pStyle w:val="ConsPlusTitle"/>
        <w:jc w:val="center"/>
      </w:pPr>
      <w:bookmarkStart w:id="0" w:name="P655"/>
      <w:bookmarkEnd w:id="0"/>
      <w:r w:rsidRPr="00435AF8">
        <w:t>ИНФОРМАЦИЯ,</w:t>
      </w:r>
    </w:p>
    <w:p w:rsidR="005714E7" w:rsidRPr="00435AF8" w:rsidRDefault="005714E7" w:rsidP="00435AF8">
      <w:pPr>
        <w:pStyle w:val="ConsPlusTitle"/>
        <w:jc w:val="center"/>
      </w:pPr>
      <w:r w:rsidRPr="00435AF8">
        <w:t>НЕОБХОДИМАЯ ДЛЯ ПОСТАНОВКИ НА УЧЕТ ДЕНЕЖНОГО ОБЯЗАТЕЛЬСТВА</w:t>
      </w:r>
    </w:p>
    <w:p w:rsidR="005714E7" w:rsidRPr="00435AF8" w:rsidRDefault="005714E7" w:rsidP="00435AF8">
      <w:pPr>
        <w:pStyle w:val="ConsPlusTitle"/>
        <w:jc w:val="center"/>
      </w:pPr>
      <w:r w:rsidRPr="00435AF8">
        <w:t>(ВНЕСЕНИЯ ИЗМЕНЕНИЙ В ПОСТАВЛЕННОЕ НА УЧЕТ</w:t>
      </w:r>
    </w:p>
    <w:p w:rsidR="005714E7" w:rsidRPr="00435AF8" w:rsidRDefault="005714E7" w:rsidP="00435AF8">
      <w:pPr>
        <w:pStyle w:val="ConsPlusTitle"/>
        <w:jc w:val="center"/>
      </w:pPr>
      <w:r w:rsidRPr="00435AF8">
        <w:t>ДЕНЕЖНОЕ ОБЯЗАТЕЛЬСТВО)</w:t>
      </w:r>
    </w:p>
    <w:p w:rsidR="005714E7" w:rsidRPr="00435AF8" w:rsidRDefault="005714E7" w:rsidP="00435AF8">
      <w:pPr>
        <w:spacing w:after="1"/>
      </w:pPr>
    </w:p>
    <w:p w:rsidR="005714E7" w:rsidRPr="00435AF8" w:rsidRDefault="005714E7" w:rsidP="00435AF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6145"/>
      </w:tblGrid>
      <w:tr w:rsidR="00B43A6E" w:rsidRPr="00435AF8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center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jc w:val="center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B43A6E" w:rsidRPr="00435AF8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1. Номер сведений о денежном обязательстве получателя средств бюджета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DB501A">
              <w:rPr>
                <w:sz w:val="24"/>
                <w:szCs w:val="24"/>
              </w:rPr>
              <w:t>(далее - соответственно Сведения о денежном обязательстве, денежное обязательство)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B43A6E" w:rsidRPr="00435AF8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B43A6E" w:rsidRPr="00435AF8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B43A6E" w:rsidRPr="00435AF8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1" w:name="P674"/>
            <w:bookmarkEnd w:id="1"/>
            <w:r w:rsidRPr="00DB501A">
              <w:rPr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B43A6E" w:rsidRPr="00435AF8" w:rsidTr="00B41D04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5. Код объекта федеральной адресной инвестиционной программы (далее ФАИП) </w:t>
            </w:r>
          </w:p>
        </w:tc>
        <w:tc>
          <w:tcPr>
            <w:tcW w:w="6145" w:type="dxa"/>
            <w:tcBorders>
              <w:bottom w:val="nil"/>
            </w:tcBorders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код объекта ФАИП на основании документа, являющегося основанием для принятия бюджетного обязательства (далее - документ-основание), заключенного в целях реализации ФАИП.</w:t>
            </w:r>
          </w:p>
        </w:tc>
      </w:tr>
      <w:tr w:rsidR="00B43A6E" w:rsidRPr="00435AF8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43A6E" w:rsidRPr="00435AF8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6.1. Получатель бюджетных средств </w:t>
            </w:r>
            <w:hyperlink w:anchor="P736" w:history="1">
              <w:r w:rsidRPr="00DB501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Указывается наименование получателя средств </w:t>
            </w:r>
            <w:r>
              <w:rPr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sz w:val="24"/>
                <w:szCs w:val="24"/>
              </w:rPr>
              <w:t>Шимского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DB501A">
              <w:rPr>
                <w:sz w:val="24"/>
                <w:szCs w:val="24"/>
              </w:rPr>
              <w:t>.</w:t>
            </w:r>
          </w:p>
        </w:tc>
      </w:tr>
      <w:tr w:rsidR="00B43A6E" w:rsidRPr="00435AF8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6.2. Код получателя бюджетных средств по Сводному реестру </w:t>
            </w:r>
            <w:hyperlink w:anchor="P736" w:history="1">
              <w:r w:rsidRPr="00DB501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>
              <w:rPr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sz w:val="24"/>
                <w:szCs w:val="24"/>
              </w:rPr>
              <w:t>Шимского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DB501A">
              <w:rPr>
                <w:sz w:val="24"/>
                <w:szCs w:val="24"/>
              </w:rPr>
              <w:t>.</w:t>
            </w:r>
          </w:p>
        </w:tc>
      </w:tr>
      <w:tr w:rsidR="00B43A6E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6.3. Номер лицевого счета </w:t>
            </w:r>
            <w:hyperlink w:anchor="P736" w:history="1">
              <w:r w:rsidRPr="00DB501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Указывается номер соответствующего лицевого счета получателя средств </w:t>
            </w:r>
            <w:r>
              <w:rPr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sz w:val="24"/>
                <w:szCs w:val="24"/>
              </w:rPr>
              <w:t>Шимского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lastRenderedPageBreak/>
              <w:t>района</w:t>
            </w:r>
            <w:r w:rsidRPr="00DB501A">
              <w:rPr>
                <w:sz w:val="24"/>
                <w:szCs w:val="24"/>
              </w:rPr>
              <w:t>.</w:t>
            </w:r>
          </w:p>
        </w:tc>
      </w:tr>
      <w:tr w:rsidR="00B43A6E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lastRenderedPageBreak/>
              <w:t>6.4. Главный распорядитель бюджетных средств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  <w:highlight w:val="green"/>
              </w:rPr>
            </w:pPr>
            <w:r w:rsidRPr="00DB501A">
              <w:rPr>
                <w:sz w:val="24"/>
                <w:szCs w:val="24"/>
              </w:rPr>
              <w:t xml:space="preserve">Указывается наименование главного распорядителя средств </w:t>
            </w:r>
            <w:r>
              <w:rPr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sz w:val="24"/>
                <w:szCs w:val="24"/>
              </w:rPr>
              <w:t>Шимского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DB501A">
              <w:rPr>
                <w:sz w:val="24"/>
                <w:szCs w:val="24"/>
              </w:rPr>
              <w:t xml:space="preserve"> с отражением в кодовой зоне кода главного распорядителя средств </w:t>
            </w:r>
            <w:r w:rsidRPr="00DC1DD2">
              <w:rPr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sz w:val="24"/>
                <w:szCs w:val="24"/>
              </w:rPr>
              <w:t>Шимского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C1DD2">
              <w:rPr>
                <w:sz w:val="24"/>
                <w:szCs w:val="24"/>
              </w:rPr>
              <w:t>муниципального района.</w:t>
            </w:r>
          </w:p>
        </w:tc>
      </w:tr>
      <w:tr w:rsidR="00B43A6E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6.5. Наименование бюджета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наименование бюджета - " бюджет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DB501A">
              <w:rPr>
                <w:sz w:val="24"/>
                <w:szCs w:val="24"/>
              </w:rPr>
              <w:t>".</w:t>
            </w:r>
          </w:p>
        </w:tc>
      </w:tr>
      <w:tr w:rsidR="00B43A6E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6.6. Финансовый орган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«комитет</w:t>
            </w:r>
            <w:r w:rsidRPr="00DB501A">
              <w:rPr>
                <w:sz w:val="24"/>
                <w:szCs w:val="24"/>
              </w:rPr>
              <w:t xml:space="preserve"> финансов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Шимского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B43A6E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6.7. Территориальный орган Федерального казначейства </w:t>
            </w:r>
            <w:hyperlink w:anchor="P736" w:history="1">
              <w:r w:rsidRPr="00DB501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Управление Федерального казначейства по Новгородской области</w:t>
            </w:r>
          </w:p>
        </w:tc>
      </w:tr>
      <w:tr w:rsidR="00B43A6E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6.8. Код органа Федерального казначейства (далее - КОФК) </w:t>
            </w:r>
            <w:hyperlink w:anchor="P736" w:history="1">
              <w:r w:rsidRPr="00DB501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5000</w:t>
            </w:r>
          </w:p>
        </w:tc>
      </w:tr>
      <w:tr w:rsidR="00B43A6E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6.9 Признак авансового платежа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B43A6E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outlineLvl w:val="2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rPr>
                <w:sz w:val="24"/>
                <w:szCs w:val="24"/>
                <w:highlight w:val="green"/>
              </w:rPr>
            </w:pPr>
          </w:p>
        </w:tc>
      </w:tr>
      <w:tr w:rsidR="00B43A6E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7.1. Вид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B43A6E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7.2. Номер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B43A6E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bookmarkStart w:id="2" w:name="P708"/>
            <w:bookmarkEnd w:id="2"/>
            <w:r w:rsidRPr="00DB501A">
              <w:rPr>
                <w:sz w:val="24"/>
                <w:szCs w:val="24"/>
              </w:rPr>
              <w:t>7.3. Дата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B43A6E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7.4 Сумма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B43A6E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7.5. Предмет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B43A6E" w:rsidRPr="00DC1DD2" w:rsidTr="00B41D04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7.6. Наименование вида средств</w:t>
            </w:r>
          </w:p>
        </w:tc>
        <w:tc>
          <w:tcPr>
            <w:tcW w:w="6145" w:type="dxa"/>
            <w:tcBorders>
              <w:bottom w:val="nil"/>
            </w:tcBorders>
          </w:tcPr>
          <w:p w:rsidR="00B43A6E" w:rsidRPr="00DC1DD2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C1DD2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B43A6E" w:rsidRPr="00DC1DD2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C1DD2"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B43A6E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7.7. Код по бюджетной классификации (далее - Код по БК) 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Указывается код классификации расходов </w:t>
            </w:r>
            <w:r>
              <w:rPr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sz w:val="24"/>
                <w:szCs w:val="24"/>
              </w:rPr>
              <w:t>Шимского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DB501A">
              <w:rPr>
                <w:sz w:val="24"/>
                <w:szCs w:val="24"/>
              </w:rPr>
              <w:t xml:space="preserve"> в соответствии с предметом документа-основания.</w:t>
            </w:r>
          </w:p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>
              <w:rPr>
                <w:sz w:val="24"/>
                <w:szCs w:val="24"/>
              </w:rPr>
              <w:t>бюджета муниципального района</w:t>
            </w:r>
            <w:r w:rsidRPr="00DB501A">
              <w:rPr>
                <w:sz w:val="24"/>
                <w:szCs w:val="24"/>
              </w:rPr>
              <w:t xml:space="preserve"> на основании информации, представленной </w:t>
            </w:r>
            <w:r w:rsidRPr="00DB501A">
              <w:rPr>
                <w:sz w:val="24"/>
                <w:szCs w:val="24"/>
              </w:rPr>
              <w:lastRenderedPageBreak/>
              <w:t>должником.</w:t>
            </w:r>
          </w:p>
        </w:tc>
      </w:tr>
      <w:tr w:rsidR="00B43A6E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lastRenderedPageBreak/>
              <w:t xml:space="preserve">7.8. Аналитический код 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proofErr w:type="gramStart"/>
            <w:r w:rsidRPr="00DB501A">
              <w:rPr>
                <w:sz w:val="24"/>
                <w:szCs w:val="24"/>
              </w:rPr>
              <w:t xml:space="preserve">Указывается при необходимости в дополнение к коду по бюджетной классификации плательщика код цели, присваиваемый Управлением Федерального казначейства по Новгородской области субсидиям, субвенциям и иным межбюджетным трансфертам, имеющим целевое значение, предоставляемым из </w:t>
            </w:r>
            <w:r>
              <w:rPr>
                <w:sz w:val="24"/>
                <w:szCs w:val="24"/>
              </w:rPr>
              <w:t>област</w:t>
            </w:r>
            <w:r w:rsidRPr="00DB501A">
              <w:rPr>
                <w:sz w:val="24"/>
                <w:szCs w:val="24"/>
              </w:rPr>
              <w:t xml:space="preserve">ного бюджета бюджетам </w:t>
            </w:r>
            <w:r>
              <w:rPr>
                <w:sz w:val="24"/>
                <w:szCs w:val="24"/>
              </w:rPr>
              <w:t>муниципальных образований</w:t>
            </w:r>
            <w:r w:rsidRPr="00DB501A">
              <w:rPr>
                <w:sz w:val="24"/>
                <w:szCs w:val="24"/>
              </w:rPr>
              <w:t xml:space="preserve"> (аналитический код, используемый Управлением Федерального казначейства по Новгородской области для учета операций со средствами юридических лиц, не являющихся участниками бюджетного процесса).</w:t>
            </w:r>
            <w:proofErr w:type="gramEnd"/>
          </w:p>
        </w:tc>
      </w:tr>
      <w:tr w:rsidR="00B43A6E" w:rsidRPr="00AE1A8F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rPr>
                <w:sz w:val="24"/>
                <w:szCs w:val="24"/>
              </w:rPr>
            </w:pPr>
            <w:bookmarkStart w:id="3" w:name="P723"/>
            <w:bookmarkEnd w:id="3"/>
            <w:r w:rsidRPr="00DB501A">
              <w:rPr>
                <w:sz w:val="24"/>
                <w:szCs w:val="24"/>
              </w:rPr>
              <w:t>7.9. Сумма в валюте выплаты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B43A6E" w:rsidRPr="00AE1A8F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rPr>
                <w:sz w:val="24"/>
                <w:szCs w:val="24"/>
              </w:rPr>
            </w:pPr>
            <w:bookmarkStart w:id="4" w:name="P725"/>
            <w:bookmarkEnd w:id="4"/>
            <w:r w:rsidRPr="00DB501A">
              <w:rPr>
                <w:sz w:val="24"/>
                <w:szCs w:val="24"/>
              </w:rPr>
              <w:t>7.10. Код валюты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5" w:history="1">
              <w:r w:rsidRPr="00DB501A">
                <w:rPr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DB501A">
              <w:rPr>
                <w:sz w:val="24"/>
                <w:szCs w:val="24"/>
              </w:rPr>
              <w:t xml:space="preserve"> валют.</w:t>
            </w:r>
          </w:p>
        </w:tc>
      </w:tr>
      <w:tr w:rsidR="00B43A6E" w:rsidRPr="00AE1A8F" w:rsidTr="00B41D04">
        <w:tc>
          <w:tcPr>
            <w:tcW w:w="3778" w:type="dxa"/>
          </w:tcPr>
          <w:p w:rsidR="00B43A6E" w:rsidRPr="00DB501A" w:rsidRDefault="00B43A6E" w:rsidP="00114F54">
            <w:pPr>
              <w:pStyle w:val="ConsPlusNormal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7.11. Сумма в рублевом эквиваленте</w:t>
            </w:r>
          </w:p>
        </w:tc>
        <w:tc>
          <w:tcPr>
            <w:tcW w:w="6145" w:type="dxa"/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DB501A">
                <w:rPr>
                  <w:color w:val="0000FF"/>
                  <w:sz w:val="24"/>
                  <w:szCs w:val="24"/>
                </w:rPr>
                <w:t>пункте 7.3</w:t>
              </w:r>
            </w:hyperlink>
            <w:r w:rsidRPr="00DB501A">
              <w:rPr>
                <w:sz w:val="24"/>
                <w:szCs w:val="24"/>
              </w:rPr>
              <w:t xml:space="preserve"> настоящей информации.</w:t>
            </w:r>
          </w:p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723" w:history="1">
              <w:r w:rsidRPr="00DB501A">
                <w:rPr>
                  <w:color w:val="0000FF"/>
                  <w:sz w:val="24"/>
                  <w:szCs w:val="24"/>
                </w:rPr>
                <w:t>пунктам 7.9</w:t>
              </w:r>
            </w:hyperlink>
            <w:r w:rsidRPr="00DB501A">
              <w:rPr>
                <w:sz w:val="24"/>
                <w:szCs w:val="24"/>
              </w:rPr>
              <w:t xml:space="preserve"> и </w:t>
            </w:r>
            <w:hyperlink w:anchor="P725" w:history="1">
              <w:r w:rsidRPr="00DB501A">
                <w:rPr>
                  <w:color w:val="0000FF"/>
                  <w:sz w:val="24"/>
                  <w:szCs w:val="24"/>
                </w:rPr>
                <w:t>7.10</w:t>
              </w:r>
            </w:hyperlink>
            <w:r w:rsidRPr="00DB501A">
              <w:rPr>
                <w:sz w:val="24"/>
                <w:szCs w:val="24"/>
              </w:rPr>
              <w:t xml:space="preserve"> настоящей информации</w:t>
            </w:r>
          </w:p>
        </w:tc>
      </w:tr>
      <w:tr w:rsidR="00B43A6E" w:rsidTr="00B41D04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B43A6E" w:rsidRPr="00DB501A" w:rsidRDefault="00B43A6E" w:rsidP="00114F54">
            <w:pPr>
              <w:pStyle w:val="ConsPlusNormal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7.12. Перечислено сумм аванса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B43A6E" w:rsidRPr="00DB501A" w:rsidRDefault="00B43A6E" w:rsidP="00114F54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DB501A">
              <w:rPr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"Признак авансового платежа" указано "Да".</w:t>
            </w:r>
          </w:p>
        </w:tc>
      </w:tr>
    </w:tbl>
    <w:p w:rsidR="005714E7" w:rsidRDefault="005714E7">
      <w:pPr>
        <w:pStyle w:val="ConsPlusNormal"/>
        <w:jc w:val="both"/>
      </w:pPr>
    </w:p>
    <w:p w:rsidR="005714E7" w:rsidRDefault="005714E7">
      <w:pPr>
        <w:pStyle w:val="ConsPlusNormal"/>
        <w:ind w:firstLine="540"/>
        <w:jc w:val="both"/>
      </w:pPr>
      <w:r>
        <w:t>--------------------------------</w:t>
      </w:r>
    </w:p>
    <w:p w:rsidR="005714E7" w:rsidRDefault="005714E7" w:rsidP="006267A2">
      <w:pPr>
        <w:pStyle w:val="ConsPlusNormal"/>
        <w:spacing w:before="200"/>
        <w:ind w:firstLine="540"/>
        <w:jc w:val="both"/>
      </w:pPr>
      <w:bookmarkStart w:id="5" w:name="P736"/>
      <w:bookmarkEnd w:id="5"/>
      <w:r w:rsidRPr="00435AF8">
        <w:t xml:space="preserve">&lt;*&gt; Указывается значение реквизита, идентичное значению соответствующего реквизита учтенного </w:t>
      </w:r>
      <w:r w:rsidR="00AE1A8F" w:rsidRPr="00435AF8">
        <w:t xml:space="preserve">Управлением Федерального казначейства по Новгородской области </w:t>
      </w:r>
      <w:r w:rsidRPr="00435AF8">
        <w:t xml:space="preserve">бюджетного обязательства с учетным номером, указанным при заполнении информации по </w:t>
      </w:r>
      <w:hyperlink w:anchor="P674" w:history="1">
        <w:r w:rsidRPr="00435AF8">
          <w:rPr>
            <w:color w:val="0000FF"/>
          </w:rPr>
          <w:t>пункту 4</w:t>
        </w:r>
      </w:hyperlink>
      <w:r w:rsidRPr="00435AF8">
        <w:t>.</w:t>
      </w:r>
      <w:bookmarkStart w:id="6" w:name="P738"/>
      <w:bookmarkStart w:id="7" w:name="_GoBack"/>
      <w:bookmarkEnd w:id="6"/>
      <w:bookmarkEnd w:id="7"/>
    </w:p>
    <w:sectPr w:rsidR="005714E7" w:rsidSect="00B41D04">
      <w:pgSz w:w="11905" w:h="16838"/>
      <w:pgMar w:top="567" w:right="567" w:bottom="567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E7"/>
    <w:rsid w:val="00003846"/>
    <w:rsid w:val="00026D15"/>
    <w:rsid w:val="000875A8"/>
    <w:rsid w:val="00092976"/>
    <w:rsid w:val="000E0320"/>
    <w:rsid w:val="00116DA5"/>
    <w:rsid w:val="00120600"/>
    <w:rsid w:val="0017666D"/>
    <w:rsid w:val="001E2FD2"/>
    <w:rsid w:val="001F766B"/>
    <w:rsid w:val="0028090D"/>
    <w:rsid w:val="00294591"/>
    <w:rsid w:val="002C35E8"/>
    <w:rsid w:val="002E6FE1"/>
    <w:rsid w:val="003603A7"/>
    <w:rsid w:val="00366B03"/>
    <w:rsid w:val="00394C10"/>
    <w:rsid w:val="003B6479"/>
    <w:rsid w:val="003D15C1"/>
    <w:rsid w:val="003F59D1"/>
    <w:rsid w:val="00435AF8"/>
    <w:rsid w:val="004424FC"/>
    <w:rsid w:val="00492E0A"/>
    <w:rsid w:val="004C3DDD"/>
    <w:rsid w:val="004E5126"/>
    <w:rsid w:val="00516B6E"/>
    <w:rsid w:val="00530500"/>
    <w:rsid w:val="005714E7"/>
    <w:rsid w:val="00596937"/>
    <w:rsid w:val="005A0429"/>
    <w:rsid w:val="005A5441"/>
    <w:rsid w:val="00615A8A"/>
    <w:rsid w:val="006267A2"/>
    <w:rsid w:val="00654684"/>
    <w:rsid w:val="0066033E"/>
    <w:rsid w:val="00690012"/>
    <w:rsid w:val="006924C3"/>
    <w:rsid w:val="00726BF4"/>
    <w:rsid w:val="00733747"/>
    <w:rsid w:val="00802DDB"/>
    <w:rsid w:val="00852FEC"/>
    <w:rsid w:val="008A3259"/>
    <w:rsid w:val="008D54F1"/>
    <w:rsid w:val="008F6AA9"/>
    <w:rsid w:val="00914B79"/>
    <w:rsid w:val="009C300D"/>
    <w:rsid w:val="00A241AB"/>
    <w:rsid w:val="00A63F60"/>
    <w:rsid w:val="00AC0EC1"/>
    <w:rsid w:val="00AC787D"/>
    <w:rsid w:val="00AE1A8F"/>
    <w:rsid w:val="00B03182"/>
    <w:rsid w:val="00B13133"/>
    <w:rsid w:val="00B41D04"/>
    <w:rsid w:val="00B43A6E"/>
    <w:rsid w:val="00BC1A75"/>
    <w:rsid w:val="00BD5000"/>
    <w:rsid w:val="00C10771"/>
    <w:rsid w:val="00C279A4"/>
    <w:rsid w:val="00C27B56"/>
    <w:rsid w:val="00C94E43"/>
    <w:rsid w:val="00D1516C"/>
    <w:rsid w:val="00D42546"/>
    <w:rsid w:val="00D639A9"/>
    <w:rsid w:val="00DB501A"/>
    <w:rsid w:val="00DC1DD2"/>
    <w:rsid w:val="00DF4A0D"/>
    <w:rsid w:val="00E223A7"/>
    <w:rsid w:val="00E26908"/>
    <w:rsid w:val="00E33342"/>
    <w:rsid w:val="00E82DB1"/>
    <w:rsid w:val="00ED1673"/>
    <w:rsid w:val="00F846E1"/>
    <w:rsid w:val="00F90AF7"/>
    <w:rsid w:val="00F90DD8"/>
    <w:rsid w:val="00F91D43"/>
    <w:rsid w:val="00FC103A"/>
    <w:rsid w:val="00FD301C"/>
    <w:rsid w:val="00FE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4"/>
    <w:rPr>
      <w:lang w:eastAsia="ru-RU"/>
    </w:rPr>
  </w:style>
  <w:style w:type="paragraph" w:styleId="1">
    <w:name w:val="heading 1"/>
    <w:basedOn w:val="a"/>
    <w:next w:val="a"/>
    <w:link w:val="10"/>
    <w:qFormat/>
    <w:rsid w:val="00C279A4"/>
    <w:pPr>
      <w:keepNext/>
      <w:ind w:firstLine="737"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C279A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9A4"/>
    <w:rPr>
      <w:sz w:val="24"/>
      <w:lang w:val="en-US" w:eastAsia="ru-RU"/>
    </w:rPr>
  </w:style>
  <w:style w:type="character" w:customStyle="1" w:styleId="40">
    <w:name w:val="Заголовок 4 Знак"/>
    <w:basedOn w:val="a0"/>
    <w:link w:val="4"/>
    <w:rsid w:val="00C279A4"/>
    <w:rPr>
      <w:b/>
      <w:sz w:val="28"/>
      <w:lang w:eastAsia="ru-RU"/>
    </w:rPr>
  </w:style>
  <w:style w:type="paragraph" w:styleId="a3">
    <w:name w:val="No Spacing"/>
    <w:uiPriority w:val="1"/>
    <w:qFormat/>
    <w:rsid w:val="00C279A4"/>
  </w:style>
  <w:style w:type="paragraph" w:customStyle="1" w:styleId="ConsPlusNormal">
    <w:name w:val="ConsPlusNormal"/>
    <w:rsid w:val="005714E7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714E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5714E7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1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1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4"/>
    <w:rPr>
      <w:lang w:eastAsia="ru-RU"/>
    </w:rPr>
  </w:style>
  <w:style w:type="paragraph" w:styleId="1">
    <w:name w:val="heading 1"/>
    <w:basedOn w:val="a"/>
    <w:next w:val="a"/>
    <w:link w:val="10"/>
    <w:qFormat/>
    <w:rsid w:val="00C279A4"/>
    <w:pPr>
      <w:keepNext/>
      <w:ind w:firstLine="737"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C279A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9A4"/>
    <w:rPr>
      <w:sz w:val="24"/>
      <w:lang w:val="en-US" w:eastAsia="ru-RU"/>
    </w:rPr>
  </w:style>
  <w:style w:type="character" w:customStyle="1" w:styleId="40">
    <w:name w:val="Заголовок 4 Знак"/>
    <w:basedOn w:val="a0"/>
    <w:link w:val="4"/>
    <w:rsid w:val="00C279A4"/>
    <w:rPr>
      <w:b/>
      <w:sz w:val="28"/>
      <w:lang w:eastAsia="ru-RU"/>
    </w:rPr>
  </w:style>
  <w:style w:type="paragraph" w:styleId="a3">
    <w:name w:val="No Spacing"/>
    <w:uiPriority w:val="1"/>
    <w:qFormat/>
    <w:rsid w:val="00C279A4"/>
  </w:style>
  <w:style w:type="paragraph" w:customStyle="1" w:styleId="ConsPlusNormal">
    <w:name w:val="ConsPlusNormal"/>
    <w:rsid w:val="005714E7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714E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5714E7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1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1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E5E2151104180C7496E7C193D4749F40BF3210F4662548AB389D8D63p7f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GucalOV</dc:creator>
  <cp:lastModifiedBy>Fin</cp:lastModifiedBy>
  <cp:revision>3</cp:revision>
  <cp:lastPrinted>2019-01-15T06:49:00Z</cp:lastPrinted>
  <dcterms:created xsi:type="dcterms:W3CDTF">2019-01-15T06:51:00Z</dcterms:created>
  <dcterms:modified xsi:type="dcterms:W3CDTF">2019-03-06T06:54:00Z</dcterms:modified>
</cp:coreProperties>
</file>