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42" w:rsidRPr="001A2FA7" w:rsidRDefault="00BC3A42" w:rsidP="00BC3A42">
      <w:pPr>
        <w:widowControl w:val="0"/>
        <w:jc w:val="right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Приложение № 5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54E80" w:rsidRDefault="00854E80" w:rsidP="00854E80">
      <w:pPr>
        <w:jc w:val="center"/>
        <w:rPr>
          <w:b/>
          <w:sz w:val="28"/>
          <w:szCs w:val="28"/>
        </w:rPr>
      </w:pP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27673">
        <w:rPr>
          <w:b/>
          <w:sz w:val="28"/>
          <w:szCs w:val="28"/>
        </w:rPr>
        <w:t>на 2014 – 2020 годы»</w:t>
      </w:r>
    </w:p>
    <w:p w:rsidR="00BC3A42" w:rsidRPr="001A2FA7" w:rsidRDefault="00BC3A42" w:rsidP="00854E80">
      <w:pPr>
        <w:contextualSpacing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BC3A42" w:rsidRPr="001A2FA7" w:rsidRDefault="00BC3A42" w:rsidP="00BC3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>1 полугодие 2014 года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</w:t>
      </w:r>
      <w:r w:rsidRPr="001A2FA7">
        <w:rPr>
          <w:sz w:val="28"/>
          <w:szCs w:val="28"/>
        </w:rPr>
        <w:t>и</w:t>
      </w:r>
      <w:r w:rsidRPr="001A2FA7">
        <w:rPr>
          <w:sz w:val="28"/>
          <w:szCs w:val="28"/>
        </w:rPr>
        <w:t>пальной программы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1A2FA7" w:rsidRDefault="00BC3A42" w:rsidP="00BC3A42">
      <w:pPr>
        <w:widowControl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993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 по муниц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ме, в том числе: &lt;**&gt;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-«Финансовая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54E80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07"/>
      <w:bookmarkEnd w:id="1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8"/>
      <w:bookmarkEnd w:id="2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Pr="001A2FA7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</w:t>
      </w:r>
      <w:r w:rsidRPr="001A2FA7">
        <w:rPr>
          <w:rFonts w:ascii="Times New Roman" w:hAnsi="Times New Roman" w:cs="Times New Roman"/>
          <w:sz w:val="28"/>
          <w:szCs w:val="28"/>
        </w:rPr>
        <w:t>м</w:t>
      </w:r>
      <w:r w:rsidRPr="001A2FA7">
        <w:rPr>
          <w:rFonts w:ascii="Times New Roman" w:hAnsi="Times New Roman" w:cs="Times New Roman"/>
          <w:sz w:val="28"/>
          <w:szCs w:val="28"/>
        </w:rPr>
        <w:t>мы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724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7098"/>
        <w:gridCol w:w="1440"/>
        <w:gridCol w:w="3522"/>
        <w:gridCol w:w="2649"/>
      </w:tblGrid>
      <w:tr w:rsidR="00BC3A42" w:rsidRPr="00BD16FB" w:rsidTr="00B7646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BC3A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7242C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42CB"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</w:tr>
      <w:tr w:rsidR="00BC3A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645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перечислено 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>5,8 тыс. рублей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B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64594B" w:rsidRDefault="0064594B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2014 год и плановый период 2015 и 2016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D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Формирование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2014 год и плановый период 2015 и 2016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проводилось, т.к. формирование бюджета муниципального района начинается в сентябре-октябре текущего года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проводилось, т.к. формирование бюджета муниципального района начинается в сентябре-октябре текущего года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проводилось, т.к. формирование бюджета муниципального района начинается в сентябре-октябре текущего года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2014 года не проводилось, т.к. формирование бюджета муниципального района начинается в сентябре-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октябре текущего года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проводилось, т.к. формирование бюджета муниципального района начинается в сентябре-октябре текущего года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проводилось, т.к. формирование бюджета муниципального района начинается в сентябре-октябре текущего года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B764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сводной бюджетной росписи, бюджетная роспись составлена, за 1 полугодие 2014 года внесено 39 изменений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</w:t>
            </w:r>
            <w:r w:rsidR="008E2342">
              <w:rPr>
                <w:rFonts w:ascii="Times New Roman" w:hAnsi="Times New Roman" w:cs="Times New Roman"/>
                <w:sz w:val="24"/>
                <w:szCs w:val="24"/>
              </w:rPr>
              <w:t xml:space="preserve">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2014 года подготовлено </w:t>
            </w:r>
            <w:r w:rsidR="00270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424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письма всем главным распорядителям средств бюджета муниципального района,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поселений о порядке и сроках представления ежемесячной и квартальной отчетности, проводятся 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2014 года получено и проверено     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2014 года подготовлен проект и внесен на рассмотрение заседание Думы муниципального района  годовой отчет об исполнении бюджета муниципального района за 2013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EC3523" w:rsidP="00EC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проводился в марте 2014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проводился в марте 2014 года и направлялся 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Осуществление последующего финансового контроля за исполнением бюджета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70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EC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полугодии 2014 года проведено 2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полугодии 2014 года проведено 2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полугодии 2014 года проведено 2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8546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выплату заработной платы, начислений и материальные затраты в 1 полугодии израсходовано </w:t>
            </w:r>
            <w:r w:rsidR="008546B5">
              <w:rPr>
                <w:rFonts w:ascii="Times New Roman" w:hAnsi="Times New Roman" w:cs="Times New Roman"/>
                <w:sz w:val="24"/>
                <w:szCs w:val="24"/>
              </w:rPr>
              <w:t>1732,0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B5" w:rsidRPr="00BD16FB" w:rsidTr="00546F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муниципальных образований, входящих в состав территории Шимского муниципального района»</w:t>
            </w:r>
          </w:p>
        </w:tc>
      </w:tr>
      <w:tr w:rsidR="008546B5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8546B5" w:rsidRDefault="008546B5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8546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B5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8546B5" w:rsidRDefault="008546B5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8546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полугодии предоставлено дотаций на сумму 6341,2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B5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8546B5" w:rsidRDefault="008546B5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B5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8546B5" w:rsidRDefault="008546B5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года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B5" w:rsidRPr="00BD16FB" w:rsidRDefault="008546B5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1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8546B5" w:rsidRDefault="00546F13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На выполнение отдельных государственных полномочий по оказанию государственной поддержки коммерческим организациям на территории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предоставлено субвенций на сумму 5211,3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1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8546B5" w:rsidRDefault="00546F13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предоставлено субвенций на сумму 104,0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1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8546B5" w:rsidRDefault="00546F1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расчеты сделаны 5 раз по 4 субсидиям в связи с несением изменений в областной бюджет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1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8546B5" w:rsidRDefault="00546F1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предоставлено субсидий на сумму 89,1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13" w:rsidRPr="00BD16FB" w:rsidTr="00546F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Шимского муниципального района»</w:t>
            </w:r>
          </w:p>
        </w:tc>
      </w:tr>
      <w:tr w:rsidR="00546F13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5C3842" w:rsidRDefault="00546F1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5C3842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долговой нагрузки на бюджет муниципального района снизился по сравнению с 1 января 2014 года на 0,9% и составил 8,8%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3" w:rsidRPr="00BD16FB" w:rsidRDefault="00546F1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долгосрочной бюджетной стратегии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формировалась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Подготовка проекта муниципального нормативного правового акта об утверждении порядка определения предельных объемов бюджетных ассигнований бюджета муниципального района, доводимых до главных распорядителей бюджетных средств в процессе составления проекта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не формировался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Предоставление информации о результатах оценки рыночной стоимости имущества, находящегося в собственности муниципального района и переданного в аренду, проведенной с целью увеличения поступления арендных платежей, оптимизация структуры муниципального имущества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987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оценка </w:t>
            </w:r>
            <w:r w:rsidR="00987B6A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</w:t>
            </w:r>
            <w:r w:rsidR="00987B6A"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поступления арендных платежей</w:t>
            </w:r>
            <w:r w:rsidR="00987B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r w:rsidR="0098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выполнения плана приватизации муниципального имущества муниципального района в целях обеспечения получения дополнительных доходов от реализации имущества, находящегося в муниципальной собственности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987B6A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2014 года в бюджет муниципального района от реализации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поступило 1880,5 тыс. рублей, что составляет 43,6 % от годового плана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Проведение комплексного анализа результатов проведенных муниципальных закупок с целью установления причин, способствующих максимально эффективному использованию средств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987B6A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Подготовка проекта решения Думы муниципального района, предусматривающего внесение изменений в бюджетный процесс в Шимском муниципальном районе в связи с переходом к утверждению бюджета муниципального района в структуре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987B6A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изменения не вносились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перечня, кодов и правил применения целевых статей в части относящейся к бюджету муниципального района в целях обеспечения перехода к утверждению о бюджета муниципального района в структуре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987B6A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комитета финансов утвержден порядок применения кодов бюджетной классификации, в части относящейся к бюджету муниципального района</w:t>
            </w:r>
            <w:r w:rsidR="003E344C">
              <w:rPr>
                <w:rFonts w:ascii="Times New Roman" w:hAnsi="Times New Roman" w:cs="Times New Roman"/>
                <w:sz w:val="24"/>
                <w:szCs w:val="24"/>
              </w:rPr>
              <w:t>, в который в течении финансового года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расходов бюджета муниципального района на очередной финансовый год и на плановый период в структуре муниципальных программ, начиная с 2015 года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 о бюджете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Подготовка проекта постановления Администрации муниципального района  об установлении порядка проведения и критериев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постановлением Администрации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проводилась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Приобретение технических средств для установки программного обеспечения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2014, 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программные продукты для эффективной работы и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Внедрение в комитете функциональных блоков по автоматизации процессов программно-целевого планирования бюджета, учета муниципальных заданий, формирования доходной части бюджета муниципального района, формирования расчетов по межбюджетным трансфертам, составления расширенного плана финансово-хозяйственной деятельности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внедрялись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42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5C3842" w:rsidRDefault="005C3842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2" w:rsidRPr="00BD16FB" w:rsidRDefault="005C38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5C3842" w:rsidRDefault="003E344C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5C3842" w:rsidRDefault="003E344C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4E2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5C3842" w:rsidRDefault="003E344C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5C3842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BD16FB" w:rsidTr="00B764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5C3842" w:rsidRDefault="003E344C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Организация мероприятий по профессиональной подготовке, переподготовке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5C3842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 1 человек на курсах повышения квалификации по 44-ФЗ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30"/>
      <w:bookmarkEnd w:id="3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3E3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622"/>
        <w:gridCol w:w="1920"/>
        <w:gridCol w:w="720"/>
        <w:gridCol w:w="1200"/>
        <w:gridCol w:w="2520"/>
      </w:tblGrid>
      <w:tr w:rsidR="00BC3A42" w:rsidRPr="001A2FA7" w:rsidTr="00A84E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целевого показателя, единица измер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знач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ний целевого показателя на конец отчетного периода (при наличии)</w:t>
            </w:r>
          </w:p>
        </w:tc>
      </w:tr>
      <w:tr w:rsidR="00BC3A42" w:rsidRPr="001A2FA7" w:rsidTr="00A84E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год, предшес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вующий отче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1A2FA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44C" w:rsidRPr="001A2FA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E2D56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деартамента финансов Новгородской области) за отчетный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1A2FA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1A2FA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 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годовой, отчет полугодовой </w:t>
            </w: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района(млн.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Отношение дефицита бюджета муниципального района(за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Количество проверок, проводимых комитетом в рамках полномочий по осуществлению внутреннего финансового контроля, в год (ед.),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годовой, отчет полугодовой</w:t>
            </w: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 (%),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6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не было</w:t>
            </w: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 (%), не менее</w:t>
            </w:r>
          </w:p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Штрафов не выписывалось</w:t>
            </w: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2E47C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685460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не предоставлялись</w:t>
            </w: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района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контингент)(%),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района(%),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E2D5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A84E47" w:rsidRDefault="00BC3A42" w:rsidP="00BC3A42">
      <w:pPr>
        <w:widowControl w:val="0"/>
        <w:rPr>
          <w:sz w:val="24"/>
          <w:szCs w:val="24"/>
        </w:rPr>
      </w:pPr>
    </w:p>
    <w:p w:rsidR="00BC3A42" w:rsidRPr="00A84E47" w:rsidRDefault="00BC3A42" w:rsidP="00BC3A42">
      <w:pPr>
        <w:rPr>
          <w:sz w:val="24"/>
          <w:szCs w:val="24"/>
        </w:rPr>
      </w:pPr>
    </w:p>
    <w:p w:rsidR="00BC3A42" w:rsidRPr="00A84E47" w:rsidRDefault="00BC3A42" w:rsidP="00BC3A42">
      <w:pPr>
        <w:jc w:val="both"/>
        <w:rPr>
          <w:b/>
          <w:sz w:val="24"/>
          <w:szCs w:val="24"/>
        </w:rPr>
      </w:pPr>
    </w:p>
    <w:p w:rsidR="00FD1D97" w:rsidRPr="00A84E47" w:rsidRDefault="00FD1D97">
      <w:pPr>
        <w:rPr>
          <w:sz w:val="24"/>
          <w:szCs w:val="24"/>
        </w:rPr>
      </w:pPr>
    </w:p>
    <w:sectPr w:rsidR="00FD1D97" w:rsidRPr="00A84E47" w:rsidSect="00BC3A42">
      <w:headerReference w:type="even" r:id="rId6"/>
      <w:headerReference w:type="default" r:id="rId7"/>
      <w:pgSz w:w="16840" w:h="11907" w:orient="landscape" w:code="9"/>
      <w:pgMar w:top="1701" w:right="567" w:bottom="567" w:left="737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1A" w:rsidRPr="003E344C" w:rsidRDefault="0077591A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endnote>
  <w:endnote w:type="continuationSeparator" w:id="1">
    <w:p w:rsidR="0077591A" w:rsidRPr="003E344C" w:rsidRDefault="0077591A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1A" w:rsidRPr="003E344C" w:rsidRDefault="0077591A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footnote>
  <w:footnote w:type="continuationSeparator" w:id="1">
    <w:p w:rsidR="0077591A" w:rsidRPr="003E344C" w:rsidRDefault="0077591A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footnote>
  <w:footnote w:id="2">
    <w:p w:rsidR="003E344C" w:rsidRPr="00FD46CE" w:rsidRDefault="003E344C" w:rsidP="00356203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A84E47" w:rsidRPr="004005A7" w:rsidRDefault="00A84E47" w:rsidP="00356203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A84E47" w:rsidRPr="00B0516F" w:rsidRDefault="00A84E47" w:rsidP="00356203">
      <w:pPr>
        <w:pStyle w:val="a6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8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A84E47" w:rsidRPr="0068557E" w:rsidRDefault="00A84E47" w:rsidP="00356203">
      <w:pPr>
        <w:pStyle w:val="a6"/>
      </w:pPr>
    </w:p>
  </w:footnote>
  <w:footnote w:id="5">
    <w:p w:rsidR="00A84E47" w:rsidRPr="004005A7" w:rsidRDefault="00A84E47" w:rsidP="00356203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</w:t>
      </w:r>
      <w:r w:rsidRPr="0068557E">
        <w:t>а за отчетный финансовый год</w:t>
      </w:r>
      <w:r>
        <w:t>.</w:t>
      </w:r>
    </w:p>
  </w:footnote>
  <w:footnote w:id="6">
    <w:p w:rsidR="00A84E47" w:rsidRPr="004005A7" w:rsidRDefault="00A84E47" w:rsidP="00356203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3" w:rsidRDefault="00546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C3842">
      <w:rPr>
        <w:rStyle w:val="a5"/>
      </w:rPr>
      <w:fldChar w:fldCharType="separate"/>
    </w:r>
    <w:r w:rsidR="005C3842">
      <w:rPr>
        <w:rStyle w:val="a5"/>
        <w:noProof/>
      </w:rPr>
      <w:t>8</w:t>
    </w:r>
    <w:r>
      <w:rPr>
        <w:rStyle w:val="a5"/>
      </w:rPr>
      <w:fldChar w:fldCharType="end"/>
    </w:r>
  </w:p>
  <w:p w:rsidR="00546F13" w:rsidRDefault="00546F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3" w:rsidRDefault="00546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F63">
      <w:rPr>
        <w:rStyle w:val="a5"/>
        <w:noProof/>
      </w:rPr>
      <w:t>12</w:t>
    </w:r>
    <w:r>
      <w:rPr>
        <w:rStyle w:val="a5"/>
      </w:rPr>
      <w:fldChar w:fldCharType="end"/>
    </w:r>
  </w:p>
  <w:p w:rsidR="00546F13" w:rsidRDefault="00546F1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42"/>
    <w:rsid w:val="0000783D"/>
    <w:rsid w:val="00270C16"/>
    <w:rsid w:val="002E47CB"/>
    <w:rsid w:val="003E344C"/>
    <w:rsid w:val="004245B2"/>
    <w:rsid w:val="00546F13"/>
    <w:rsid w:val="005C3842"/>
    <w:rsid w:val="0064594B"/>
    <w:rsid w:val="00685460"/>
    <w:rsid w:val="007242CB"/>
    <w:rsid w:val="0077591A"/>
    <w:rsid w:val="008546B5"/>
    <w:rsid w:val="00854E80"/>
    <w:rsid w:val="00877861"/>
    <w:rsid w:val="008E2342"/>
    <w:rsid w:val="00987B6A"/>
    <w:rsid w:val="009B3F63"/>
    <w:rsid w:val="00A84E47"/>
    <w:rsid w:val="00B05606"/>
    <w:rsid w:val="00B76460"/>
    <w:rsid w:val="00BC3A42"/>
    <w:rsid w:val="00EC3523"/>
    <w:rsid w:val="00F11A49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cp:lastPrinted>2014-09-17T08:32:00Z</cp:lastPrinted>
  <dcterms:created xsi:type="dcterms:W3CDTF">2014-09-17T04:43:00Z</dcterms:created>
  <dcterms:modified xsi:type="dcterms:W3CDTF">2014-09-17T08:52:00Z</dcterms:modified>
</cp:coreProperties>
</file>