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42" w:rsidRPr="001A2FA7" w:rsidRDefault="00BC3A42" w:rsidP="00BC3A42">
      <w:pPr>
        <w:widowControl w:val="0"/>
        <w:jc w:val="right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Приложение № 5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854E80" w:rsidRDefault="00854E80" w:rsidP="00854E80">
      <w:pPr>
        <w:jc w:val="center"/>
        <w:rPr>
          <w:b/>
          <w:sz w:val="28"/>
          <w:szCs w:val="28"/>
        </w:rPr>
      </w:pP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427673">
        <w:rPr>
          <w:b/>
          <w:sz w:val="28"/>
          <w:szCs w:val="28"/>
        </w:rPr>
        <w:t>на 2014 – 2020 годы»</w:t>
      </w:r>
    </w:p>
    <w:p w:rsidR="00BC3A42" w:rsidRPr="001A2FA7" w:rsidRDefault="00BC3A42" w:rsidP="00854E80">
      <w:pPr>
        <w:contextualSpacing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BC3A42" w:rsidRPr="001A2FA7" w:rsidRDefault="00BC3A42" w:rsidP="00BC3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10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079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1A2FA7" w:rsidRDefault="00BC3A42" w:rsidP="00BC3A42">
      <w:pPr>
        <w:widowControl w:val="0"/>
        <w:jc w:val="right"/>
        <w:rPr>
          <w:sz w:val="28"/>
          <w:szCs w:val="28"/>
        </w:rPr>
      </w:pPr>
      <w:r w:rsidRPr="001A2FA7">
        <w:rPr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993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00A74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A42" w:rsidRPr="0066042C" w:rsidTr="00877861">
        <w:trPr>
          <w:trHeight w:val="10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4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обеспечение осуществления бюджетного процесса, управление муниципальным долгом </w:t>
            </w:r>
            <w:proofErr w:type="spellStart"/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-«Финансовая поддержка муниципальных образований, входящих в состав территории </w:t>
            </w:r>
            <w:proofErr w:type="spellStart"/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19119,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19119,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54E80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07"/>
      <w:bookmarkEnd w:id="1"/>
      <w:r w:rsidRPr="0066042C"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8"/>
      <w:bookmarkEnd w:id="2"/>
      <w:r w:rsidRPr="0066042C"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Pr="001A2FA7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программы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proofErr w:type="spellStart"/>
      <w:r w:rsidRPr="007242CB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724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7098"/>
        <w:gridCol w:w="1440"/>
        <w:gridCol w:w="3522"/>
        <w:gridCol w:w="2649"/>
      </w:tblGrid>
      <w:tr w:rsidR="00BC3A42" w:rsidRPr="00BD16FB" w:rsidTr="00B76460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7242C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42CB"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обеспечение осуществления бюджетного процесса, управление муниципальным долгом </w:t>
            </w:r>
            <w:proofErr w:type="spellStart"/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6459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C650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перечислено 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544,7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4B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64594B" w:rsidRDefault="0064594B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00783D" w:rsidP="00C650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бюджете муниципального района на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3D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Формирование программы муниципальных гарантий муниципального района и планирование предусмотренных на ее исполнение бюджетных </w:t>
            </w:r>
            <w:proofErr w:type="gramStart"/>
            <w:r w:rsidRPr="0064594B">
              <w:rPr>
                <w:color w:val="000000"/>
                <w:sz w:val="24"/>
                <w:szCs w:val="24"/>
              </w:rPr>
              <w:t>ассигнований</w:t>
            </w:r>
            <w:proofErr w:type="gramEnd"/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C650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 утверждена решением о бюджете муниципального района на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</w:t>
            </w:r>
            <w:proofErr w:type="spellStart"/>
            <w:r w:rsidRPr="0064594B">
              <w:rPr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64594B">
              <w:rPr>
                <w:color w:val="000000"/>
                <w:sz w:val="24"/>
                <w:szCs w:val="24"/>
              </w:rPr>
              <w:t xml:space="preserve">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документы и материалы составлены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проведены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B764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сводной бюджетной росписи, бюджетная роспись составлена, за 2014 год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выписано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справок об изменении росписи расходов и лимитов бюджетных обязательств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кассового плана, кассовый план составлен</w:t>
            </w:r>
            <w:r w:rsidR="008E2342">
              <w:rPr>
                <w:rFonts w:ascii="Times New Roman" w:hAnsi="Times New Roman" w:cs="Times New Roman"/>
                <w:sz w:val="24"/>
                <w:szCs w:val="24"/>
              </w:rPr>
              <w:t xml:space="preserve">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подготовлено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решений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424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письма всем главным распорядителям средств бюджета муниципального района, органам местного самоуправления поселений о порядке и сроках представления ежемесячной и квартальной отчетности,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proofErr w:type="gramEnd"/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получено и проверено 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подготовлен проект и внесен на рассмотрение заседание Думы муниципального района  годовой отчет об исполнении бюджета муниципального района за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27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 xml:space="preserve">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 xml:space="preserve">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Осуществление последующего финансового </w:t>
            </w:r>
            <w:proofErr w:type="gramStart"/>
            <w:r w:rsidRPr="00270C1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270C16">
              <w:rPr>
                <w:color w:val="000000"/>
                <w:sz w:val="24"/>
                <w:szCs w:val="24"/>
              </w:rPr>
              <w:t xml:space="preserve"> исполнением бюджета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270C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проведено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дено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района  в виде межбюджетных трансфертов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5682F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1 внеплановая проверка по поручению Главы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платы, начислений и материальные затраты в в201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израсходовано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финансов установлены программные продукты для взаимодействия с органами казначейства, департаментом финансов 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рассчитаны дотации на выравнивание </w:t>
            </w:r>
            <w:r w:rsidRPr="0074769E">
              <w:rPr>
                <w:rFonts w:ascii="Times New Roman" w:hAnsi="Times New Roman" w:cs="Times New Roman"/>
                <w:sz w:val="24"/>
                <w:szCs w:val="24"/>
              </w:rPr>
              <w:t>бюджетной обеспеченности поселений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предоставлено дотаций на сумму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Расчет объема дотаций для обеспечения сбалансированности бюджетов поселений на очередной финансовый год и плановый </w:t>
            </w:r>
            <w:r w:rsidRPr="008546B5">
              <w:rPr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сбалансированность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31169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предоставлялись</w:t>
            </w:r>
          </w:p>
        </w:tc>
      </w:tr>
      <w:tr w:rsidR="00A878E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8546B5" w:rsidRDefault="00A878E0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На выполнение отдельных государственных полномочий по оказанию государственной поддержки коммерческим организациям на территории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B00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B00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31169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Бюджетам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предоставлено субвенций на сумму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Расчет объема субсидий местным бюджетам для </w:t>
            </w:r>
            <w:proofErr w:type="spellStart"/>
            <w:r w:rsidRPr="008546B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546B5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A878E0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>несением изменений в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были распределены по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Предоставление субсидий местным бюджетам для </w:t>
            </w:r>
            <w:proofErr w:type="spellStart"/>
            <w:r w:rsidRPr="008546B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546B5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субсидий на сумму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3217,7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46F13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A878E0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1 января 2016 года составляет 5700,0 тыс. рублей, снизился по сравнению с 1 января 2015 года на 30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Формирование долгосрочной бюджетной стратегии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формировалась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, приостановлено в соответствии с Бюджетным кодексом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 xml:space="preserve"> в целях обеспечения получения дополнительных доходов от реализации имущества, находящегося в муниципальной собственности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бюджет муниципального района от реализации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поступило 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896,8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расходов бюджета муниципального района на очередной финансовый год и на плановый период в структуре муниципальных программ, начиная с 2015 года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34F2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будет проведена до 1 марта 2016 года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Приобретение технических сре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>я установки программного обеспечения</w:t>
            </w:r>
            <w:r w:rsidR="005473A8">
              <w:rPr>
                <w:color w:val="000000"/>
                <w:sz w:val="24"/>
                <w:szCs w:val="24"/>
              </w:rPr>
              <w:t>, услуг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2014, 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программные продукты для эффективной работы и взаимодействия с органами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Автоматизация процесса сбора, консолидации и обработки отчетности для проведения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FC73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</w:t>
            </w:r>
            <w:r w:rsidR="00FC73CD">
              <w:rPr>
                <w:color w:val="000000"/>
                <w:sz w:val="24"/>
                <w:szCs w:val="24"/>
              </w:rPr>
              <w:t>5</w:t>
            </w:r>
            <w:r w:rsidRPr="005C3842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FC73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</w:t>
            </w:r>
            <w:r w:rsidR="00FC73CD">
              <w:rPr>
                <w:color w:val="000000"/>
                <w:sz w:val="24"/>
                <w:szCs w:val="24"/>
              </w:rPr>
              <w:t>5</w:t>
            </w:r>
            <w:r w:rsidRPr="005C384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43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D97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97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Организация мероприятий по профессиональной подготовке, переподготовке и повышению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2 человека на курсах повышения квалификации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30"/>
      <w:bookmarkEnd w:id="3"/>
      <w:r w:rsidRPr="00BD16F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Pr="00BD16FB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3A42" w:rsidRPr="00432904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proofErr w:type="spellStart"/>
      <w:r w:rsidRPr="007242CB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3E3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622"/>
        <w:gridCol w:w="1920"/>
        <w:gridCol w:w="720"/>
        <w:gridCol w:w="1200"/>
        <w:gridCol w:w="2520"/>
      </w:tblGrid>
      <w:tr w:rsidR="00BC3A42" w:rsidRPr="001A2FA7" w:rsidTr="00A84E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BC3A42" w:rsidRPr="001A2FA7" w:rsidTr="00A84E47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</w:t>
            </w:r>
            <w:r w:rsidR="00FC73CD">
              <w:rPr>
                <w:color w:val="000000"/>
                <w:sz w:val="24"/>
                <w:szCs w:val="24"/>
              </w:rPr>
              <w:t>п</w:t>
            </w:r>
            <w:r w:rsidRPr="00A84E47">
              <w:rPr>
                <w:color w:val="000000"/>
                <w:sz w:val="24"/>
                <w:szCs w:val="24"/>
              </w:rPr>
              <w:t>артамента финансов Новгородской области) за отчетный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2E47CB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 xml:space="preserve">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дефицита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Количество проверок, проводимых комитетом в рамках полномочий по осуществлению внутреннего финансового контроля, в год (ед.),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  <w:r w:rsidRPr="00A84E47">
              <w:rPr>
                <w:rStyle w:val="a8"/>
                <w:sz w:val="24"/>
                <w:szCs w:val="24"/>
              </w:rPr>
              <w:footnoteReference w:id="6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начисленных комитетом за бюджетные нарушения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2E47CB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68" w:rsidRPr="008B7D68" w:rsidRDefault="008B7D68" w:rsidP="00546F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 xml:space="preserve">Доля прочих межбюджетных трансфертов, перечисленных из бюджета муниципального района в бюджеты поселений в отчетном году, от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>общего объема прочих межбюджетных трансфертов, распределяемых комитето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8B7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46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B7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F178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4" w:rsidRPr="00A84E47" w:rsidTr="00F178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F178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составления отчета оценка не проводилась</w:t>
            </w:r>
          </w:p>
        </w:tc>
      </w:tr>
    </w:tbl>
    <w:p w:rsidR="00BC3A42" w:rsidRPr="00A84E47" w:rsidRDefault="00BC3A42" w:rsidP="00BC3A42">
      <w:pPr>
        <w:widowControl w:val="0"/>
        <w:rPr>
          <w:sz w:val="24"/>
          <w:szCs w:val="24"/>
        </w:rPr>
      </w:pPr>
    </w:p>
    <w:p w:rsidR="00BC3A42" w:rsidRPr="00A84E47" w:rsidRDefault="00BC3A42" w:rsidP="00BC3A42">
      <w:pPr>
        <w:rPr>
          <w:sz w:val="24"/>
          <w:szCs w:val="24"/>
        </w:rPr>
      </w:pPr>
    </w:p>
    <w:p w:rsidR="00BC3A42" w:rsidRPr="00A84E47" w:rsidRDefault="00EE5F09" w:rsidP="00BC3A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Комитета финансов Администрации муниципального района                                                                   М.Б.Иванова</w:t>
      </w:r>
    </w:p>
    <w:p w:rsidR="00FD1D97" w:rsidRPr="00A84E47" w:rsidRDefault="00FD1D97">
      <w:pPr>
        <w:rPr>
          <w:sz w:val="24"/>
          <w:szCs w:val="24"/>
        </w:rPr>
      </w:pPr>
    </w:p>
    <w:sectPr w:rsidR="00FD1D97" w:rsidRPr="00A84E47" w:rsidSect="00BC3A42">
      <w:headerReference w:type="even" r:id="rId7"/>
      <w:headerReference w:type="default" r:id="rId8"/>
      <w:pgSz w:w="16840" w:h="11907" w:orient="landscape" w:code="9"/>
      <w:pgMar w:top="1701" w:right="567" w:bottom="567" w:left="737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74" w:rsidRPr="003E344C" w:rsidRDefault="00B00A7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endnote>
  <w:endnote w:type="continuationSeparator" w:id="1">
    <w:p w:rsidR="00B00A74" w:rsidRPr="003E344C" w:rsidRDefault="00B00A7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74" w:rsidRPr="003E344C" w:rsidRDefault="00B00A7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footnote>
  <w:footnote w:type="continuationSeparator" w:id="1">
    <w:p w:rsidR="00B00A74" w:rsidRPr="003E344C" w:rsidRDefault="00B00A7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footnote>
  <w:footnote w:id="2">
    <w:p w:rsidR="00B00A74" w:rsidRPr="00FD46CE" w:rsidRDefault="00B00A74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B00A74" w:rsidRPr="004005A7" w:rsidRDefault="00B00A74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B00A74" w:rsidRPr="00B0516F" w:rsidRDefault="00B00A74" w:rsidP="00432904">
      <w:pPr>
        <w:pStyle w:val="a6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8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proofErr w:type="spellStart"/>
      <w:r w:rsidRPr="00615E63">
        <w:rPr>
          <w:szCs w:val="24"/>
        </w:rPr>
        <w:t>novkfo.ru</w:t>
      </w:r>
      <w:proofErr w:type="spellEnd"/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B00A74" w:rsidRPr="0068557E" w:rsidRDefault="00B00A74" w:rsidP="00432904">
      <w:pPr>
        <w:pStyle w:val="a6"/>
      </w:pPr>
    </w:p>
  </w:footnote>
  <w:footnote w:id="5">
    <w:p w:rsidR="00B00A74" w:rsidRPr="004005A7" w:rsidRDefault="00B00A74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</w:t>
      </w:r>
      <w:r w:rsidRPr="0068557E">
        <w:t>а за отчетный финансовый год</w:t>
      </w:r>
      <w:r>
        <w:t>.</w:t>
      </w:r>
    </w:p>
  </w:footnote>
  <w:footnote w:id="6">
    <w:p w:rsidR="00B00A74" w:rsidRPr="004005A7" w:rsidRDefault="00B00A74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74" w:rsidRDefault="00B00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00A74" w:rsidRDefault="00B00A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74" w:rsidRDefault="00B00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C9F">
      <w:rPr>
        <w:rStyle w:val="a5"/>
        <w:noProof/>
      </w:rPr>
      <w:t>2</w:t>
    </w:r>
    <w:r>
      <w:rPr>
        <w:rStyle w:val="a5"/>
      </w:rPr>
      <w:fldChar w:fldCharType="end"/>
    </w:r>
  </w:p>
  <w:p w:rsidR="00B00A74" w:rsidRDefault="00B00A7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42"/>
    <w:rsid w:val="0000783D"/>
    <w:rsid w:val="00031DF0"/>
    <w:rsid w:val="00131F60"/>
    <w:rsid w:val="001B431E"/>
    <w:rsid w:val="001D26DC"/>
    <w:rsid w:val="001D7277"/>
    <w:rsid w:val="00270C16"/>
    <w:rsid w:val="002E47CB"/>
    <w:rsid w:val="002F1310"/>
    <w:rsid w:val="0031115C"/>
    <w:rsid w:val="0031169C"/>
    <w:rsid w:val="003E344C"/>
    <w:rsid w:val="004245B2"/>
    <w:rsid w:val="00432904"/>
    <w:rsid w:val="004B1E69"/>
    <w:rsid w:val="004E195F"/>
    <w:rsid w:val="00514A5E"/>
    <w:rsid w:val="00534F2B"/>
    <w:rsid w:val="00546F13"/>
    <w:rsid w:val="005473A8"/>
    <w:rsid w:val="0055682F"/>
    <w:rsid w:val="005C3842"/>
    <w:rsid w:val="0064594B"/>
    <w:rsid w:val="00685460"/>
    <w:rsid w:val="006A472D"/>
    <w:rsid w:val="007242CB"/>
    <w:rsid w:val="0074769E"/>
    <w:rsid w:val="0077591A"/>
    <w:rsid w:val="007A5C9F"/>
    <w:rsid w:val="007D0799"/>
    <w:rsid w:val="008546B5"/>
    <w:rsid w:val="00854E80"/>
    <w:rsid w:val="00877861"/>
    <w:rsid w:val="008B7101"/>
    <w:rsid w:val="008B7D68"/>
    <w:rsid w:val="008E2342"/>
    <w:rsid w:val="008F169B"/>
    <w:rsid w:val="00987B6A"/>
    <w:rsid w:val="009B3F63"/>
    <w:rsid w:val="00A84E47"/>
    <w:rsid w:val="00A878E0"/>
    <w:rsid w:val="00AC3D7F"/>
    <w:rsid w:val="00B00A74"/>
    <w:rsid w:val="00B05606"/>
    <w:rsid w:val="00B51CD9"/>
    <w:rsid w:val="00B76460"/>
    <w:rsid w:val="00BC3A42"/>
    <w:rsid w:val="00C1446B"/>
    <w:rsid w:val="00C6502D"/>
    <w:rsid w:val="00C66D97"/>
    <w:rsid w:val="00C866AF"/>
    <w:rsid w:val="00D25107"/>
    <w:rsid w:val="00D768E0"/>
    <w:rsid w:val="00D97605"/>
    <w:rsid w:val="00DC6027"/>
    <w:rsid w:val="00E27C86"/>
    <w:rsid w:val="00EC3523"/>
    <w:rsid w:val="00EE5F09"/>
    <w:rsid w:val="00F11A49"/>
    <w:rsid w:val="00F17884"/>
    <w:rsid w:val="00FC73CD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7B24-74AB-49C9-BD3E-96D2A285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cp:lastPrinted>2016-02-04T13:45:00Z</cp:lastPrinted>
  <dcterms:created xsi:type="dcterms:W3CDTF">2016-02-19T08:25:00Z</dcterms:created>
  <dcterms:modified xsi:type="dcterms:W3CDTF">2016-02-19T08:25:00Z</dcterms:modified>
</cp:coreProperties>
</file>